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Hanniel Appiah-Kubi</w:t>
      </w:r>
    </w:p>
    <w:p>
      <w:pPr>
        <w:jc w:val="center"/>
      </w:pPr>
      <w:r>
        <w:rPr>
          <w:b/>
          <w:sz w:val="21"/>
        </w:rPr>
        <w:t>AI Data Contributor | Annotation • Evaluation • Language &amp; Cultural Data • Quality Review</w:t>
      </w:r>
    </w:p>
    <w:p>
      <w:pPr>
        <w:jc w:val="center"/>
      </w:pPr>
      <w:r>
        <w:rPr>
          <w:sz w:val="18"/>
        </w:rPr>
        <w:t>hannielappiahkubi@gmail.com  |  0509101687  |  linkedin.com/in/hanniel-appiah-kubi-1018b033</w:t>
      </w:r>
    </w:p>
    <w:p>
      <w:pPr>
        <w:spacing w:before="140" w:after="60"/>
      </w:pPr>
      <w:r>
        <w:rPr>
          <w:b/>
          <w:sz w:val="22"/>
        </w:rPr>
        <w:t>PROFESSIONAL PROFILE</w:t>
      </w:r>
    </w:p>
    <w:p>
      <w:r>
        <w:t>Detail-oriented Senior High School graduate with strong STEM knowledge, clear written and verbal communication, and practical experience supporting peers through tutoring and study sessions. Comfortable learning precise guidelines, evaluating information carefully, identifying inconsistencies, and completing repetitive tasks with accuracy. Interested in AI data work including annotation, evaluation, transcription, language and cultural data collection, surveys, and quality review. Native/strong Ghanaian language exposure and familiarity with Twi, Fante and Ga provide useful context for projects involving Ghanaian language and culture.</w:t>
      </w:r>
    </w:p>
    <w:p>
      <w:pPr>
        <w:spacing w:before="140" w:after="60"/>
      </w:pPr>
      <w:r>
        <w:rPr>
          <w:b/>
          <w:sz w:val="22"/>
        </w:rPr>
        <w:t>CORE SKILLS</w:t>
      </w:r>
    </w:p>
    <w:p>
      <w:pPr>
        <w:spacing w:after="30"/>
        <w:ind w:left="216" w:hanging="173"/>
      </w:pPr>
      <w:r>
        <w:rPr>
          <w:b/>
        </w:rPr>
        <w:t xml:space="preserve">• </w:t>
      </w:r>
      <w:r>
        <w:t>STEM: Mathematics, Further/Elective Mathematics, Biology, Chemistry, Physics</w:t>
      </w:r>
    </w:p>
    <w:p>
      <w:pPr>
        <w:spacing w:after="30"/>
        <w:ind w:left="216" w:hanging="173"/>
      </w:pPr>
      <w:r>
        <w:rPr>
          <w:b/>
        </w:rPr>
        <w:t xml:space="preserve">• </w:t>
      </w:r>
      <w:r>
        <w:t>AI data-work readiness: annotation, evaluation, transcription and review workflows</w:t>
      </w:r>
    </w:p>
    <w:p>
      <w:pPr>
        <w:spacing w:after="30"/>
        <w:ind w:left="216" w:hanging="173"/>
      </w:pPr>
      <w:r>
        <w:rPr>
          <w:b/>
        </w:rPr>
        <w:t xml:space="preserve">• </w:t>
      </w:r>
      <w:r>
        <w:t>Accuracy, attention to detail and guideline/rubric compliance</w:t>
      </w:r>
    </w:p>
    <w:p>
      <w:pPr>
        <w:spacing w:after="30"/>
        <w:ind w:left="216" w:hanging="173"/>
      </w:pPr>
      <w:r>
        <w:rPr>
          <w:b/>
        </w:rPr>
        <w:t xml:space="preserve">• </w:t>
      </w:r>
      <w:r>
        <w:t>Data entry, digital research and information checking</w:t>
      </w:r>
    </w:p>
    <w:p>
      <w:pPr>
        <w:spacing w:after="30"/>
        <w:ind w:left="216" w:hanging="173"/>
      </w:pPr>
      <w:r>
        <w:rPr>
          <w:b/>
        </w:rPr>
        <w:t xml:space="preserve">• </w:t>
      </w:r>
      <w:r>
        <w:t>Written and verbal communication</w:t>
      </w:r>
    </w:p>
    <w:p>
      <w:pPr>
        <w:spacing w:after="30"/>
        <w:ind w:left="216" w:hanging="173"/>
      </w:pPr>
      <w:r>
        <w:rPr>
          <w:b/>
        </w:rPr>
        <w:t xml:space="preserve">• </w:t>
      </w:r>
      <w:r>
        <w:t>Peer tutoring, teaching and constructive feedback</w:t>
      </w:r>
    </w:p>
    <w:p>
      <w:pPr>
        <w:spacing w:after="30"/>
        <w:ind w:left="216" w:hanging="173"/>
      </w:pPr>
      <w:r>
        <w:rPr>
          <w:b/>
        </w:rPr>
        <w:t xml:space="preserve">• </w:t>
      </w:r>
      <w:r>
        <w:t>Problem-solving and analytical reasoning</w:t>
      </w:r>
    </w:p>
    <w:p>
      <w:pPr>
        <w:spacing w:after="30"/>
        <w:ind w:left="216" w:hanging="173"/>
      </w:pPr>
      <w:r>
        <w:rPr>
          <w:b/>
        </w:rPr>
        <w:t xml:space="preserve">• </w:t>
      </w:r>
      <w:r>
        <w:t>Ghanaian language and cultural context</w:t>
      </w:r>
    </w:p>
    <w:p>
      <w:pPr>
        <w:spacing w:after="30"/>
        <w:ind w:left="216" w:hanging="173"/>
      </w:pPr>
      <w:r>
        <w:rPr>
          <w:b/>
        </w:rPr>
        <w:t xml:space="preserve">• </w:t>
      </w:r>
      <w:r>
        <w:t>Independent work, reliability and time management</w:t>
      </w:r>
    </w:p>
    <w:p>
      <w:pPr>
        <w:spacing w:after="30"/>
        <w:ind w:left="216" w:hanging="173"/>
      </w:pPr>
      <w:r>
        <w:rPr>
          <w:b/>
        </w:rPr>
        <w:t xml:space="preserve">• </w:t>
      </w:r>
      <w:r>
        <w:t>Microsoft Office / Google Workspace fundamentals</w:t>
      </w:r>
    </w:p>
    <w:p>
      <w:pPr>
        <w:spacing w:before="140" w:after="60"/>
      </w:pPr>
      <w:r>
        <w:rPr>
          <w:b/>
          <w:sz w:val="22"/>
        </w:rPr>
        <w:t>RELEVANT EXPERIENCE</w:t>
      </w:r>
    </w:p>
    <w:p>
      <w:pPr>
        <w:spacing w:before="60"/>
      </w:pPr>
      <w:r>
        <w:rPr>
          <w:b/>
          <w:sz w:val="20"/>
        </w:rPr>
        <w:t>STEM Tutor &amp; Study Session Lead</w:t>
      </w:r>
      <w:r>
        <w:rPr>
          <w:i/>
        </w:rPr>
        <w:t xml:space="preserve"> | Independent / Peer Learning | 2023–Present</w:t>
      </w:r>
    </w:p>
    <w:p>
      <w:pPr>
        <w:spacing w:after="30"/>
        <w:ind w:left="216" w:hanging="173"/>
      </w:pPr>
      <w:r>
        <w:rPr>
          <w:b/>
        </w:rPr>
        <w:t xml:space="preserve">• </w:t>
      </w:r>
      <w:r>
        <w:t>Tutored and supported approximately 15 students across STEM subjects, adapting explanations to different levels of understanding.</w:t>
      </w:r>
    </w:p>
    <w:p>
      <w:pPr>
        <w:spacing w:after="30"/>
        <w:ind w:left="216" w:hanging="173"/>
      </w:pPr>
      <w:r>
        <w:rPr>
          <w:b/>
        </w:rPr>
        <w:t xml:space="preserve">• </w:t>
      </w:r>
      <w:r>
        <w:t>Lead study and teaching sessions for a peer group, helping learners work through difficult mathematics and science concepts.</w:t>
      </w:r>
    </w:p>
    <w:p>
      <w:pPr>
        <w:spacing w:after="30"/>
        <w:ind w:left="216" w:hanging="173"/>
      </w:pPr>
      <w:r>
        <w:rPr>
          <w:b/>
        </w:rPr>
        <w:t xml:space="preserve">• </w:t>
      </w:r>
      <w:r>
        <w:t>Check learners' answers, identify errors and explain corrections clearly and patiently.</w:t>
      </w:r>
    </w:p>
    <w:p>
      <w:pPr>
        <w:spacing w:after="30"/>
        <w:ind w:left="216" w:hanging="173"/>
      </w:pPr>
      <w:r>
        <w:rPr>
          <w:b/>
        </w:rPr>
        <w:t xml:space="preserve">• </w:t>
      </w:r>
      <w:r>
        <w:t>Prepare explanations and learning materials from curriculum requirements, prioritising accuracy and clarity.</w:t>
      </w:r>
    </w:p>
    <w:p>
      <w:pPr>
        <w:spacing w:after="30"/>
        <w:ind w:left="216" w:hanging="173"/>
      </w:pPr>
      <w:r>
        <w:rPr>
          <w:b/>
        </w:rPr>
        <w:t xml:space="preserve">• </w:t>
      </w:r>
      <w:r>
        <w:t>Work independently while maintaining consistency across repeated learning tasks and questions.</w:t>
      </w:r>
    </w:p>
    <w:p>
      <w:pPr>
        <w:spacing w:before="60"/>
      </w:pPr>
      <w:r>
        <w:rPr>
          <w:b/>
          <w:sz w:val="20"/>
        </w:rPr>
        <w:t>Founder / Tutor</w:t>
      </w:r>
      <w:r>
        <w:rPr>
          <w:i/>
        </w:rPr>
        <w:t xml:space="preserve"> | Hanniel STEM Academy | 2026–Present</w:t>
      </w:r>
    </w:p>
    <w:p>
      <w:pPr>
        <w:spacing w:after="30"/>
        <w:ind w:left="216" w:hanging="173"/>
      </w:pPr>
      <w:r>
        <w:rPr>
          <w:b/>
        </w:rPr>
        <w:t xml:space="preserve">• </w:t>
      </w:r>
      <w:r>
        <w:t>Developing a STEM-focused tutoring initiative centred on Mathematics, Biology, Chemistry and Physics.</w:t>
      </w:r>
    </w:p>
    <w:p>
      <w:pPr>
        <w:spacing w:after="30"/>
        <w:ind w:left="216" w:hanging="173"/>
      </w:pPr>
      <w:r>
        <w:rPr>
          <w:b/>
        </w:rPr>
        <w:t xml:space="preserve">• </w:t>
      </w:r>
      <w:r>
        <w:t>Create educational content and communicate with prospective students/parents through digital channels.</w:t>
      </w:r>
    </w:p>
    <w:p>
      <w:pPr>
        <w:spacing w:after="30"/>
        <w:ind w:left="216" w:hanging="173"/>
      </w:pPr>
      <w:r>
        <w:rPr>
          <w:b/>
        </w:rPr>
        <w:t xml:space="preserve">• </w:t>
      </w:r>
      <w:r>
        <w:t>Organise tutoring activities, learner needs and subject priorities with attention to detail.</w:t>
      </w:r>
    </w:p>
    <w:p>
      <w:pPr>
        <w:spacing w:before="60"/>
      </w:pPr>
      <w:r>
        <w:rPr>
          <w:b/>
          <w:sz w:val="20"/>
        </w:rPr>
        <w:t>Student Study &amp; Peer Support</w:t>
      </w:r>
      <w:r>
        <w:rPr>
          <w:i/>
        </w:rPr>
        <w:t xml:space="preserve"> | Senior High School | 2023–2026</w:t>
      </w:r>
    </w:p>
    <w:p>
      <w:pPr>
        <w:spacing w:after="30"/>
        <w:ind w:left="216" w:hanging="173"/>
      </w:pPr>
      <w:r>
        <w:rPr>
          <w:b/>
        </w:rPr>
        <w:t xml:space="preserve">• </w:t>
      </w:r>
      <w:r>
        <w:t>Regularly assisted classmates and peers with challenging STEM topics and exam preparation.</w:t>
      </w:r>
    </w:p>
    <w:p>
      <w:pPr>
        <w:spacing w:after="30"/>
        <w:ind w:left="216" w:hanging="173"/>
      </w:pPr>
      <w:r>
        <w:rPr>
          <w:b/>
        </w:rPr>
        <w:t xml:space="preserve">• </w:t>
      </w:r>
      <w:r>
        <w:t>Known among peers for patient explanations, problem-solving support and willingness to help others understand difficult material.</w:t>
      </w:r>
    </w:p>
    <w:p>
      <w:pPr>
        <w:spacing w:before="140" w:after="60"/>
      </w:pPr>
      <w:r>
        <w:rPr>
          <w:b/>
          <w:sz w:val="22"/>
        </w:rPr>
        <w:t>EDUCATION</w:t>
      </w:r>
    </w:p>
    <w:p>
      <w:pPr>
        <w:spacing w:after="40"/>
      </w:pPr>
      <w:r>
        <w:rPr>
          <w:b/>
        </w:rPr>
        <w:t>Senior High School / WASSCE</w:t>
      </w:r>
      <w:r>
        <w:t xml:space="preserve"> — Ghana | Completed 2026</w:t>
      </w:r>
    </w:p>
    <w:p>
      <w:pPr>
        <w:spacing w:before="140" w:after="60"/>
      </w:pPr>
      <w:r>
        <w:rPr>
          <w:b/>
          <w:sz w:val="22"/>
        </w:rPr>
        <w:t>LANGUAGES</w:t>
      </w:r>
    </w:p>
    <w:tbl>
      <w:tblPr>
        <w:tblStyle w:val="TableGrid"/>
        <w:tblW w:type="auto" w:w="0"/>
        <w:tblLook w:firstColumn="1" w:firstRow="1" w:lastColumn="0" w:lastRow="0" w:noHBand="0" w:noVBand="1" w:val="04A0"/>
      </w:tblPr>
      <w:tblGrid>
        <w:gridCol w:w="5184"/>
        <w:gridCol w:w="5184"/>
      </w:tblGrid>
      <w:tr>
        <w:tc>
          <w:tcPr>
            <w:tcW w:type="dxa" w:w="5184"/>
          </w:tcPr>
          <w:p>
            <w:r>
              <w:t>Language</w:t>
            </w:r>
          </w:p>
        </w:tc>
        <w:tc>
          <w:tcPr>
            <w:tcW w:type="dxa" w:w="5184"/>
          </w:tcPr>
          <w:p>
            <w:r>
              <w:t>Proficiency</w:t>
            </w:r>
          </w:p>
        </w:tc>
      </w:tr>
      <w:tr>
        <w:tc>
          <w:tcPr>
            <w:tcW w:type="dxa" w:w="5184"/>
          </w:tcPr>
          <w:p>
            <w:r>
              <w:t>English</w:t>
            </w:r>
          </w:p>
        </w:tc>
        <w:tc>
          <w:tcPr>
            <w:tcW w:type="dxa" w:w="5184"/>
          </w:tcPr>
          <w:p>
            <w:r>
              <w:t>Strong / fluent</w:t>
            </w:r>
          </w:p>
        </w:tc>
      </w:tr>
      <w:tr>
        <w:tc>
          <w:tcPr>
            <w:tcW w:type="dxa" w:w="5184"/>
          </w:tcPr>
          <w:p>
            <w:r>
              <w:t>Twi</w:t>
            </w:r>
          </w:p>
        </w:tc>
        <w:tc>
          <w:tcPr>
            <w:tcW w:type="dxa" w:w="5184"/>
          </w:tcPr>
          <w:p>
            <w:r>
              <w:t>Fluent</w:t>
            </w:r>
          </w:p>
        </w:tc>
      </w:tr>
      <w:tr>
        <w:tc>
          <w:tcPr>
            <w:tcW w:type="dxa" w:w="5184"/>
          </w:tcPr>
          <w:p>
            <w:r>
              <w:t>Fante</w:t>
            </w:r>
          </w:p>
        </w:tc>
        <w:tc>
          <w:tcPr>
            <w:tcW w:type="dxa" w:w="5184"/>
          </w:tcPr>
          <w:p>
            <w:r>
              <w:t>Fluent</w:t>
            </w:r>
          </w:p>
        </w:tc>
      </w:tr>
      <w:tr>
        <w:tc>
          <w:tcPr>
            <w:tcW w:type="dxa" w:w="5184"/>
          </w:tcPr>
          <w:p>
            <w:r>
              <w:t>Ga</w:t>
            </w:r>
          </w:p>
        </w:tc>
        <w:tc>
          <w:tcPr>
            <w:tcW w:type="dxa" w:w="5184"/>
          </w:tcPr>
          <w:p>
            <w:r>
              <w:t>Conversational</w:t>
            </w:r>
          </w:p>
        </w:tc>
      </w:tr>
      <w:tr>
        <w:tc>
          <w:tcPr>
            <w:tcW w:type="dxa" w:w="5184"/>
          </w:tcPr>
          <w:p>
            <w:r>
              <w:t>French</w:t>
            </w:r>
          </w:p>
        </w:tc>
        <w:tc>
          <w:tcPr>
            <w:tcW w:type="dxa" w:w="5184"/>
          </w:tcPr>
          <w:p>
            <w:r>
              <w:t>Basic</w:t>
            </w:r>
          </w:p>
        </w:tc>
      </w:tr>
    </w:tbl>
    <w:p>
      <w:pPr>
        <w:spacing w:before="140" w:after="60"/>
      </w:pPr>
      <w:r>
        <w:rPr>
          <w:b/>
          <w:sz w:val="22"/>
        </w:rPr>
        <w:t>ADDITIONAL INFORMATION</w:t>
      </w:r>
    </w:p>
    <w:p>
      <w:pPr>
        <w:spacing w:after="30"/>
        <w:ind w:left="216" w:hanging="173"/>
      </w:pPr>
      <w:r>
        <w:rPr>
          <w:b/>
        </w:rPr>
        <w:t xml:space="preserve">• </w:t>
      </w:r>
      <w:r>
        <w:t>Available for remote work and flexible task-based projects.</w:t>
      </w:r>
    </w:p>
    <w:p>
      <w:pPr>
        <w:spacing w:after="30"/>
        <w:ind w:left="216" w:hanging="173"/>
      </w:pPr>
      <w:r>
        <w:rPr>
          <w:b/>
        </w:rPr>
        <w:t xml:space="preserve">• </w:t>
      </w:r>
      <w:r>
        <w:t>Strong interest in Ghanaian language, cultural and regional data projects.</w:t>
      </w:r>
    </w:p>
    <w:p>
      <w:pPr>
        <w:spacing w:after="30"/>
        <w:ind w:left="216" w:hanging="173"/>
      </w:pPr>
      <w:r>
        <w:rPr>
          <w:b/>
        </w:rPr>
        <w:t xml:space="preserve">• </w:t>
      </w:r>
      <w:r>
        <w:t>Willing to complete project-specific training, assessments and quality checks.</w:t>
      </w:r>
    </w:p>
    <w:p>
      <w:pPr>
        <w:spacing w:after="30"/>
        <w:ind w:left="216" w:hanging="173"/>
      </w:pPr>
      <w:r>
        <w:rPr>
          <w:b/>
        </w:rPr>
        <w:t xml:space="preserve">• </w:t>
      </w:r>
      <w:r>
        <w:t>References available 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